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8"/>
          <w:szCs w:val="28"/>
          <w:u w:color="a80000"/>
          <w14:textFill>
            <w14:solidFill>
              <w14:srgbClr w14:val="A800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-399415</wp:posOffset>
                </wp:positionV>
                <wp:extent cx="1527811" cy="91630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1" cy="916306"/>
                          <a:chOff x="0" y="0"/>
                          <a:chExt cx="1527810" cy="91630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42.5pt;margin-top:-31.5pt;width:120.3pt;height:72.2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27810,916305">
                <w10:wrap type="none" side="bothSides" anchorx="text"/>
                <v:rect id="_x0000_s1027" style="position:absolute;left:0;top:0;width:1527810;height:9163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527810;height:916305;">
                  <v:imagedata r:id="rId4" o:title="image.jpeg"/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Ausschreibungstext </w:t>
        <w:tab/>
        <w:tab/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Einsparten-Hauseinf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hrung </w:t>
      </w:r>
      <w:r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14:textFill>
            <w14:solidFill>
              <w14:srgbClr w14:val="A8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f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r Geb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ude mit Keller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8"/>
          <w:szCs w:val="28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S-HEF Einsparten-Bauherrenset f</w:t>
      </w:r>
      <w:r>
        <w:rPr>
          <w:rFonts w:ascii="Arial" w:hAnsi="Arial" w:hint="default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r Geb</w:t>
      </w:r>
      <w:r>
        <w:rPr>
          <w:rFonts w:ascii="Arial" w:hAnsi="Arial" w:hint="default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ude mit Keller zur gas- und wasserdichten Wand-Abdichtung von Rohren und Kabeln.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cc0000"/>
          <w:sz w:val="28"/>
          <w:szCs w:val="28"/>
          <w:u w:color="cc0000"/>
          <w14:textFill>
            <w14:solidFill>
              <w14:srgbClr w14:val="CC0000"/>
            </w14:solidFill>
          </w14:textFill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S-HEF </w:t>
      </w:r>
      <w:r>
        <w:rPr>
          <w:rFonts w:ascii="Arial" w:hAnsi="Arial"/>
          <w:rtl w:val="0"/>
          <w:lang w:val="de-DE"/>
        </w:rPr>
        <w:t>Einsparten-Bauherrenset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Geb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ude mit Keller,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Gewerke Gas, Wasser, Strom und Telekommunikation.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Ausf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hrung DD GF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>f</w:t>
      </w:r>
      <w:r>
        <w:rPr>
          <w:rFonts w:ascii="Arial" w:hAnsi="Arial" w:hint="default"/>
          <w:u w:color="a80000"/>
          <w:rtl w:val="0"/>
          <w:lang w:val="de-DE"/>
        </w:rPr>
        <w:t>ü</w:t>
      </w:r>
      <w:r>
        <w:rPr>
          <w:rFonts w:ascii="Arial" w:hAnsi="Arial"/>
          <w:u w:color="a80000"/>
          <w:rtl w:val="0"/>
          <w:lang w:val="de-DE"/>
        </w:rPr>
        <w:t xml:space="preserve">r </w:t>
      </w:r>
      <w:r>
        <w:rPr>
          <w:rFonts w:ascii="Arial" w:hAnsi="Arial"/>
          <w:u w:color="a80000"/>
          <w:rtl w:val="0"/>
          <w:lang w:val="de-DE"/>
        </w:rPr>
        <w:t>Telekommunikation (auch Wellrohr), Glasfaserkabel (LWL)</w:t>
      </w:r>
    </w:p>
    <w:p>
      <w:pPr>
        <w:pStyle w:val="Standard"/>
        <w:rPr>
          <w:rFonts w:ascii="Arial" w:cs="Arial" w:hAnsi="Arial" w:eastAsia="Arial"/>
          <w:u w:color="a80000"/>
        </w:rPr>
      </w:pPr>
    </w:p>
    <w:p>
      <w:pPr>
        <w:pStyle w:val="Standard"/>
        <w:rPr>
          <w:rFonts w:ascii="Arial" w:cs="Arial" w:hAnsi="Arial" w:eastAsia="Arial"/>
          <w:b w:val="1"/>
          <w:bCs w:val="1"/>
          <w:u w:color="a80000"/>
        </w:rPr>
      </w:pPr>
      <w:r>
        <w:rPr>
          <w:rFonts w:ascii="Arial" w:hAnsi="Arial"/>
          <w:b w:val="1"/>
          <w:bCs w:val="1"/>
          <w:u w:color="a80000"/>
          <w:rtl w:val="0"/>
          <w:lang w:val="de-DE"/>
        </w:rPr>
        <w:t>S-HEF DD GF 12</w:t>
      </w:r>
      <w:r>
        <w:rPr>
          <w:rFonts w:ascii="Arial" w:hAnsi="Arial"/>
          <w:b w:val="1"/>
          <w:bCs w:val="1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 w:hint="default"/>
          <w:b w:val="1"/>
          <w:bCs w:val="1"/>
          <w:u w:color="a80000"/>
          <w:rtl w:val="0"/>
          <w:lang w:val="de-DE"/>
        </w:rPr>
        <w:t>–</w:t>
      </w:r>
      <w:r>
        <w:rPr>
          <w:rFonts w:ascii="Arial" w:hAnsi="Arial"/>
          <w:b w:val="1"/>
          <w:bCs w:val="1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u w:color="a80000"/>
          <w:rtl w:val="0"/>
          <w:lang w:val="de-DE"/>
        </w:rPr>
        <w:t>16 / 2</w:t>
      </w:r>
      <w:r>
        <w:rPr>
          <w:rFonts w:ascii="Arial" w:hAnsi="Arial"/>
          <w:b w:val="1"/>
          <w:bCs w:val="1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u w:color="a80000"/>
          <w:rtl w:val="0"/>
          <w:lang w:val="de-DE"/>
        </w:rPr>
        <w:t>x</w:t>
      </w:r>
      <w:r>
        <w:rPr>
          <w:rFonts w:ascii="Arial" w:hAnsi="Arial"/>
          <w:b w:val="1"/>
          <w:bCs w:val="1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u w:color="a80000"/>
          <w:rtl w:val="0"/>
          <w:lang w:val="de-DE"/>
        </w:rPr>
        <w:t>7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>zweiseitig dichtend (beide Wandseiten), Durchmesser 6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 w:hint="default"/>
          <w:u w:color="a80000"/>
          <w:rtl w:val="0"/>
          <w:lang w:val="de-DE"/>
        </w:rPr>
        <w:t>–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u w:color="a80000"/>
          <w:rtl w:val="0"/>
          <w:lang w:val="de-DE"/>
        </w:rPr>
        <w:t>40 mm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>zweiseitig dichtend (beide Wandseiten), Durchmesser 2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u w:color="a80000"/>
          <w:rtl w:val="0"/>
          <w:lang w:val="de-DE"/>
        </w:rPr>
        <w:t>x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u w:color="a80000"/>
          <w:rtl w:val="0"/>
          <w:lang w:val="de-DE"/>
        </w:rPr>
        <w:t>7 mm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Betonarbeiten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Kernlochbohrungen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Zusatzprodukte (Rohre, Muffen, Schl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uche, Dichtungen)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Montagehilfen (Drehmomentschl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ssel)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schnelle, einfache Montage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individuell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Kabel- und Rohr-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Ø </w:t>
      </w:r>
      <w:r>
        <w:rPr>
          <w:rFonts w:ascii="Arial" w:hAnsi="Arial"/>
          <w:sz w:val="20"/>
          <w:szCs w:val="20"/>
          <w:rtl w:val="0"/>
          <w:lang w:val="de-DE"/>
        </w:rPr>
        <w:t>bis 40 mm vor Ort anpassbar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Standard-Werkzeuge (Schlagbohrer, 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tsche, Messer)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nachtr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gliche Aufr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stung zur Mehrsparten-Einf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glich (waagerechte und/oder senkrechte Anordnung)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gas- und druckwasserdicht bis 1 bar (10 mWS)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radondicht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fungen: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Gas- Wasserdruckdichtigkeit Werkspr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 DDL 07-1020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Radonsicherheit IFA 200326-12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Gas-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Wasserdruckdichtigkeit Werkspr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 MFPA P5.1/20488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Hersteller: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DDL </w:t>
      </w:r>
      <w:r>
        <w:rPr>
          <w:rFonts w:ascii="Arial" w:hAnsi="Arial"/>
          <w:b w:val="1"/>
          <w:bCs w:val="1"/>
          <w:rtl w:val="0"/>
          <w:lang w:val="de-DE"/>
        </w:rPr>
        <w:t>G</w:t>
      </w:r>
      <w:r>
        <w:rPr>
          <w:rFonts w:ascii="Arial" w:hAnsi="Arial"/>
          <w:b w:val="1"/>
          <w:bCs w:val="1"/>
          <w:rtl w:val="0"/>
          <w:lang w:val="de-DE"/>
        </w:rPr>
        <w:t>mbH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Borsigstra</w:t>
      </w:r>
      <w:r>
        <w:rPr>
          <w:rFonts w:ascii="Arial" w:hAnsi="Arial" w:hint="default"/>
          <w:b w:val="1"/>
          <w:bCs w:val="1"/>
          <w:rtl w:val="0"/>
          <w:lang w:val="de-DE"/>
        </w:rPr>
        <w:t>ß</w:t>
      </w:r>
      <w:r>
        <w:rPr>
          <w:rFonts w:ascii="Arial" w:hAnsi="Arial"/>
          <w:b w:val="1"/>
          <w:bCs w:val="1"/>
          <w:rtl w:val="0"/>
          <w:lang w:val="de-DE"/>
        </w:rPr>
        <w:t>e 26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28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D- 73249 Wernau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vertrieb@ddl-dichttechnik.de</w:t>
      </w:r>
    </w:p>
    <w:p>
      <w:pPr>
        <w:pStyle w:val="Standard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de-DE"/>
        </w:rPr>
        <w:t>www.ddl-dichttechnik.de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2832" w:firstLine="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-629919</wp:posOffset>
                </wp:positionH>
                <wp:positionV relativeFrom="line">
                  <wp:posOffset>252095</wp:posOffset>
                </wp:positionV>
                <wp:extent cx="7090410" cy="109982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099820"/>
                          <a:chOff x="0" y="0"/>
                          <a:chExt cx="7090409" cy="1099819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49.6pt;margin-top:19.9pt;width:558.3pt;height:86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090410,1099820">
                <w10:wrap type="none" side="bothSides" anchorx="text"/>
                <v:rect id="_x0000_s1030" style="position:absolute;left:0;top:0;width:7090410;height:10998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7090410;height:1099820;">
                  <v:imagedata r:id="rId5" o:title="image.jpeg"/>
                </v:shape>
              </v:group>
            </w:pict>
          </mc:Fallback>
        </mc:AlternateConten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</w:t>
      </w:r>
    </w:p>
    <w:sectPr>
      <w:headerReference w:type="default" r:id="rId6"/>
      <w:footerReference w:type="default" r:id="rId7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-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